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Сельское хозяйство – главное направление специализации экономики района – многоотраслевое, но с ведущей ролью животноводства (на базе земель отгонного животноводства, преимущественно в личном подсобном хозяйстве), с развитием горно-долинного садоводства, с возрождающимся зерновым хозяйством на плоскости.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числу наиболее острых проблем относится уровень развития кормовой базы, нецелевое использование сельхозугодий, не развита сеть заготовительно-закупочных организацией. Собственная переработка сельскохозяйственного сырья не развита, что порождает проблемы с реализацией продукции.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функционируют 19 ед. – СПК, зарегистрировано 116 ед. – КФХ, из них функционируют – 69, 134 ед. – ПК, СПК  из них функционируют – 92; 5160 ед. личные подсобные хозяйства. Численность, занятых в сельском хозяйстве населения составляет – 7151 чел., что составляет 29 % от общего числа населения или 69 % от численности экономически активной части населения.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крупными сельхозпроизводителями являются: СПК «Забота»,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Гиндибский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СПК «Чкалова»,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Анцухский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СПК «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партсъезд», СПК «Победа», СПК «Правда», СПК «Тельмана»,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Цумилюхская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»,  СПК «Орджоникидзе»,  СПК «Свердлова», 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Сельскохозяйственные угодья всего – 59,003 тыс. га,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находящиеся в пользовании: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– 47,111 тыс.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–  0,001 тыс.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– 0,826 тыс.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общей площади сельхозугодий: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пашня   </w:t>
      </w:r>
      <w:r>
        <w:rPr>
          <w:rFonts w:ascii="Times New Roman" w:hAnsi="Times New Roman" w:cs="Times New Roman"/>
          <w:sz w:val="28"/>
          <w:szCs w:val="28"/>
        </w:rPr>
        <w:tab/>
        <w:t>– 2,95 тыс.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сенокосы </w:t>
      </w:r>
      <w:r>
        <w:rPr>
          <w:rFonts w:ascii="Times New Roman" w:hAnsi="Times New Roman" w:cs="Times New Roman"/>
          <w:sz w:val="28"/>
          <w:szCs w:val="28"/>
        </w:rPr>
        <w:tab/>
        <w:t xml:space="preserve">– 6,3 тыс. га,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орошаемых 1679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пастбища </w:t>
      </w:r>
      <w:r>
        <w:rPr>
          <w:rFonts w:ascii="Times New Roman" w:hAnsi="Times New Roman" w:cs="Times New Roman"/>
          <w:sz w:val="28"/>
          <w:szCs w:val="28"/>
        </w:rPr>
        <w:tab/>
        <w:t xml:space="preserve">– 36803 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орошаемых 167 га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неиспользуемые с/х угодья (залежи) – 0.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фактически используемых сельскохозяйственных угодий в общей площади сельхозугодий составляет 93,5 %, т.е. на уровне 2011 года.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орошаемых земель в общей площади сельхозугодий составляет 4 % или 1,846 тыс. гектаров.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прибыльных организаций составляет 32 %, в 2011 г. – 22 %.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19 СПК убыток составлял – 92 тыс. рублей.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валовой продукции сельскохозяйственного производства в 2012 г. составил 1196169,0 тыс. руб., что на 24 % выше предыдущего года </w:t>
      </w:r>
      <w:r>
        <w:rPr>
          <w:rFonts w:ascii="Times New Roman" w:hAnsi="Times New Roman" w:cs="Times New Roman"/>
          <w:b/>
          <w:i/>
          <w:sz w:val="28"/>
          <w:szCs w:val="28"/>
        </w:rPr>
        <w:t>(приложение 1 и 2).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производства сельхозпродукции на душу населения по району составил 42,1 тыс. руб., что почти 2 раза выше среднереспубликанской цифры – 22,1 тыс. руб.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объема продукции сельского хозяйства по категориям хозяйств: в личных хозяйствах населения – 80 %,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8 %. КФХ – 12 %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Растениеводство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производства продукции растениеводства составляет – 355129 тыс. руб., его доля в общем объеме продукции составляет – 29,7 %.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Производство продукции растениеводства: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зерновые – 2331,0 тонн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овощи – 7805,0 тонн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картофель – 6735,0 тонн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плоды и ягоды – 11305,0 тонн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Животноводство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производства продукции животноводства составляет 841040,0 тыс. руб., его доля в общем объеме продукции составляет 70,3 %.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Производство продукции животноводства:</w:t>
      </w:r>
    </w:p>
    <w:p w:rsidR="001B6B9F" w:rsidRDefault="001B6B9F" w:rsidP="001B6B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мясо в живом весе  - 4138,0 тонн</w:t>
      </w:r>
    </w:p>
    <w:p w:rsidR="001B6B9F" w:rsidRDefault="001B6B9F" w:rsidP="001B6B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- 16803,0 тонн</w:t>
      </w:r>
    </w:p>
    <w:p w:rsidR="001B6B9F" w:rsidRDefault="001B6B9F" w:rsidP="001B6B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- 1404,0 тыс. шт.</w:t>
      </w:r>
    </w:p>
    <w:p w:rsidR="001B6B9F" w:rsidRDefault="001B6B9F" w:rsidP="001B6B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- 216 тонн.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B9F" w:rsidRDefault="001B6B9F" w:rsidP="001B6B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изменения численности поголовья (тыс. гол.)</w:t>
      </w:r>
    </w:p>
    <w:p w:rsidR="001B6B9F" w:rsidRDefault="001B6B9F" w:rsidP="001B6B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459"/>
        <w:gridCol w:w="2459"/>
        <w:gridCol w:w="1854"/>
      </w:tblGrid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2011 г.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2012 г.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(+/-)</w:t>
            </w:r>
            <w:proofErr w:type="gramEnd"/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КРС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+0,420</w:t>
            </w:r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коровы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+0,121</w:t>
            </w:r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овцы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102,42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114,58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+12,2</w:t>
            </w:r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овцематки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79,02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+2,52</w:t>
            </w:r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1B6B9F" w:rsidTr="001B6B9F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132,02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+17,03</w:t>
            </w:r>
          </w:p>
        </w:tc>
      </w:tr>
    </w:tbl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производства продукции животноводства в 2012 г. по сравнению  с 2011 г. увеличился на 7,2 %. Для поддержания сельскохозяйственного производства выделены субсидии в 2012 г. в размере 26647,0 тыс. руб., в 2011 г. – 13900 тыс. руб.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целях развития  сельского  хозяйства  и  объектов   агропромышленного  комплекса необходимо: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собственную  переработку сельскохозяйственного сырья; развивать племенное животноводство, овцеводство, птицеводство,  </w:t>
      </w:r>
      <w:r>
        <w:rPr>
          <w:rFonts w:ascii="Times New Roman" w:hAnsi="Times New Roman" w:cs="Times New Roman"/>
          <w:sz w:val="28"/>
          <w:szCs w:val="28"/>
        </w:rPr>
        <w:lastRenderedPageBreak/>
        <w:t>садоводство, овощеводство, кормовую   базу;  развивать сети заготовительно-закупочных  организаций, организовать  заготовку и переработку продукции вторичного лесопользования и лекарственно-технического  сырья;    развивать мелиорацию, повышать  эффективность  использования  оросительных  систем,  восстанавливать внутрихозяйственные оросительные  системы.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деятельности на 2013 и 2014годы: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сельскохозяйственных угодий эффективным хозяйствующим субъектам: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земли, находящиеся в распоряжении сельских поселений муниципального образования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4900 га, передать следующим хозяйствам: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Кобода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- 1500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Сонел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«Джурмут-1» - 1000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Хурзадинуб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- 1400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(летние) пастбища, находящиеся в распоряжении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2100 га, передать в аренду нижеследующим хозяйствам: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- 2005» - 1100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«Салда» - 1000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работ по участию в действующих республиканских целевых программах, направленных на поддержку сельскохозяйственного производства (закладка и уход за многолетними насаждениями, семеноводство, молочное скотоводство, овцеводство и др.):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закладка сада интенсивного типа: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- 15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«Тельмана»- 25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Тинчуда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 га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семеноводство: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СПК «М.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производство семян люцерны в объеме 15-20 тонн в год.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производство семян люцерны 25-30 тонн и семян кукурузы 100-150 тонн в год.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животноводство: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племенных хозяйств в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-1» и 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разведения овец Дагестанской горной породы овец.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конкретных проектов, направленных на увеличение объёмов сельскохозяйственного производства для представления их в Министерство торговли и внешнеэкономических связей Республики Дагестан с целью оценки их эффективности и оказания содействия в их реализации;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мероприятий совместно с Министерством сельского хозяйства и продовольствия Республики Дагестан по предотвращению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дальнейшего выбытия из сельскохозяйственного оборота сельхозугодий района;  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работы в вопросах развития сельскохозяйственной кооперации, и  привлечения инвестиций в  район;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создания условий для увеличения объёмов кредитования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особенно малых форм хозяйствования (создание муниципального залогового фонда, муниципальной гарантии).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См. приложения № 1-4.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Промышленное производство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Промышленное производство района представляет частные предприятия по выпечке хлебобулочных изделий, их в районе 6 ед.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составляет – 3800 тыс. руб. или 160 тонн.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2011 г.  объем выпечки увеличен на 5,5 %.</w:t>
      </w:r>
    </w:p>
    <w:p w:rsidR="001B6B9F" w:rsidRDefault="001B6B9F" w:rsidP="001B6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отгруженной продукции на душу населения составил 134 руб., что почти 100 раз ниже среднереспубликанской цифры (13900 рублей).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промышленном производстве заняты – 8 чел. Их доля в общей численности занятых в экономике составляет – 0,06 %.</w:t>
      </w:r>
      <w:proofErr w:type="gramEnd"/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развития промышленного производства являются нехватка оборотных средств, устаревшее оборудование, отсутствие частных инвестиций.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развития промышленности: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Строительство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миниэлектростанций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Строительство асфальтового  завода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нцух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Строительство цеха по переработке древесины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 Тлярата.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Строительство мини завода по розливу горной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лярата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малых цехов по переработке  мясо-молочной 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кожмехсырья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лярата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Разведение форельного хозяйства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кал,Гведиш,Шидиб-Ланда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Пчеловодство: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кал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Гведиш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Колоб,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Гиндух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Генеколоб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Строительство цехов  по вязанию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носков,джурабов,платков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утлаб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Организация цеха по ковроткачеству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индиб-Кардиб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автомобильных дорог по району составляет – 212,3 км.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 федерального значения – нет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республиканского значения – 31 км.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местного значения – 181,3 км.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12 %.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Выделено средств на строительство и ремонт автодорог – 110373,9 тыс. рублей.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Грузооборот составляет  11850 тыс. тонн –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увеличился по сравнению с 2011 г. на 2,2 %.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транспорта являются: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удельный вес и низкое качество имеющихся дорог с твердым покрытием;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неразвитость пассажирских перевозок в районе.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рассматриваемой автомобильной дороге за сутки в прямом и в обратном направлении перемешаются маршрутные такси марки «Газель» в среднем 4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автомобильного движения – 40 %.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 автодорог  района  включает  автомобильные  дороги  республиканского  значения и  характеризуется  низким  качеством дорог (преобладание автодорог низких технических категорий (пятой, четвертой),   наличие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некатегорных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дорог),  множество лавиноопасных  участков дорог,  оползни и т.д.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  вся  территория района  подвержена  опасным  природным  процессам (оползни,  обвалы,  сели,  лавины,  камнепады, затопления и подтопления и  др.), до   80 % населенных пунктов  в  зимний  период    не  доступны.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на 2013-2014 годы - строительство и реконструкция дорог: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строительство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а) Тлярата-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 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б) Тлярата-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-1,5 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Тохота-в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охота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- 1,5км;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реконструкция                     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-1,5 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д)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-1,5км;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асфальтирование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-Тлярата -18 км;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асфальтирование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Тлярата - 8км.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Малое предпринимательство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субъектов малого предпринимательства – 835,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малые предприятия – 115 ед. 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зарегистрированные индивидуальные предприниматели – 720.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Среднесписочная численность работников, занятых на малых предприятиях – 570 чел., у индивидуальных предпринимателей – 720 чел.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Доля среднесписочной численности работников малых и средних предприятий составляет – 19,6 %. Оборот малого предпринимательства составляет 63256,7 тыс. руб. и  по сравнению с 2011 г. увеличился на 14,7 %.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разработана и утверждена муниципальная программа развития малого и среднего предпринимательства до 2015 года, в которой определены для муниципального района приоритетные направления:  производственная сфера, сельское хозяйство, животноводство, туризм, жилищно-коммунальное хозяйство, предоставление бытовых услуг населению, а также развитие информационно-коммуникационных технологий. </w:t>
      </w:r>
      <w:proofErr w:type="gramEnd"/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проблемам, существующим в сфере развития малого бизнеса,  относятся: административные барьеры; затрудненный доступ к финансово-кредитным ресурсам, особенно для начинающих предпринимателей;  недобросовестная конкуренция; отсутствие системной поддержки малого предпринимательства на муниципальном уровне; неразвитость системы информационной поддержки малых предприятий; отсутствие квалифицированных кадров в малом бизнесе.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образованиями не полностью используется имеющийся потенциал в сфере развития и поддержки предпринимательства, недостаточная работа проводится по выявлению и постановке на учет субъектов малого предпринимательства, осуществляющих незарегистрированную деятельность,   выводу их из тени и выявлению «теневой зарплаты».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Приоритетом для муниципального образования на 2013-2014 годы</w:t>
      </w:r>
      <w:r>
        <w:rPr>
          <w:rFonts w:ascii="Times New Roman" w:hAnsi="Times New Roman" w:cs="Times New Roman"/>
          <w:sz w:val="28"/>
          <w:szCs w:val="28"/>
        </w:rPr>
        <w:t xml:space="preserve"> является участие в  рамках Республиканской целевой программы развития малого и среднего предпринимательства на 2012-2015 годы в мероприятиях по поддержке субъектов малого предпринимательства по следующим направлениям: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на конкурсной основе из средств, предусмотренных на реализацию программы, что позволит реально поддержать малый бизнес на местном уровне, создать новые рабочие места;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 организаций инфраструктуры поддержки малого и среднего предпринимательства в районе;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перечня муниципального имущества, в том числе незавершенного строительства, в целях предоставления субъектам малого и среднего предпринимательства для ведения предпринимательской деятельности, в том числе в аренду;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районной маркетинговой программы продвижения продукции субъектов малого и среднего предпринимательства на внешние рынки. Содействие субъектам малого и среднего предпринимательства в продвижении продукции на региональные и международные рынки с использованием инструментов маркетинга, участии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–ярмарочных мероприятиях.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lastRenderedPageBreak/>
        <w:t>субъектам малого и среднего предпринимательства на компенсацию части платежей на аренду выставочных площадей;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грантов молодежи от 14 до 30 лет, а также начинающим субъектам малого и среднего предпринимательства, создаваемых безработными гражданами, выпускниками  учебных заведений, военнослужащими, испытывающими трудности в поиске работы;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обучение, подготовка кадров, организация повышения квалификации и профессиональной подготовки руководителей и специалистов субъектов малого и среднего предпринимательства, инфраструктуры поддержки малого и среднего предпринимательства, специалистов муниципальных образований.</w:t>
      </w: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инвестиций в основной капитал за счет всех источников финансирования составил 291706,0 тыс. руб. или  87% к предыдущему году. Объем инвестиций на душу населения составил 10290,0 руб. или 20,1 % от среднереспубликанского значения.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средств выделенных в рамках Республиканской инвестиционной программы  59811,0 тыс. руб.: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том числе:</w:t>
      </w:r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школа в с. Тлярата – 33400,0 тыс. руб.</w:t>
      </w:r>
      <w:proofErr w:type="gramEnd"/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поликлиника в с. Тлярата – 3000,0 тыс. руб.</w:t>
      </w:r>
      <w:proofErr w:type="gramEnd"/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водопровод в с. Албания – 3000,0 тыс. руб.</w:t>
      </w:r>
      <w:proofErr w:type="gramEnd"/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артскважина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«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>
        <w:rPr>
          <w:rFonts w:ascii="Times New Roman" w:hAnsi="Times New Roman" w:cs="Times New Roman"/>
          <w:sz w:val="28"/>
          <w:szCs w:val="28"/>
        </w:rPr>
        <w:t xml:space="preserve"> партсъезд» - 9411,0 тыс. руб.</w:t>
      </w:r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водопровод в с. Тлярата  - 10000,0 тыс. руб.</w:t>
      </w:r>
      <w:proofErr w:type="gramEnd"/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Орджонекидзе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» - 1000,0 тыс. руб.</w:t>
      </w:r>
    </w:p>
    <w:p w:rsidR="001B6B9F" w:rsidRDefault="001B6B9F" w:rsidP="001B6B9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pStyle w:val="1"/>
        <w:ind w:firstLine="709"/>
        <w:jc w:val="both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Приоритетными  направлениями являются строительство объектов социальной и инженерной инфраструктуры в границах муниципального образования и в зоне отгонного животноводства в соответствии с предложениями, представленными для включения в проект федерально целевой  программы «Социально-экономическое развитие приграничных районов Республики Дагестан на период 2015 года» (приложение 3 и 4):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ind w:firstLine="720"/>
        <w:jc w:val="center"/>
        <w:rPr>
          <w:rFonts w:ascii="Calibri" w:hAnsi="Calibri" w:cs="Calibri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Обеспеченность жильем и ввод жилья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жилья за 2012 г. составляет 67 домов общей площадью 4646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Всего жилой фонд составляет 228,7 тыс. кв. м., на одного жителя приходится 10,0 кв. м. жилья,  что  более  2  раз ниже среднереспубликанского показателя (16,8 кв. м.).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деятельности: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земельных участков коммунальной инфраструктурой в целях жилищного строительства;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развития жилищного сектора и повышения уровня обеспеченности населения жильем через увеличение объемов строительства жилья и необходимой коммунальной инфраструктуры; 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существующего жилищного фонда и коммунальной инфраструктуры в соответствие со стандартами качества, обеспечивающими комфортные условия проживания; 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молодым семьям и молодым специалистам на селе субсидий на улучшение жилищных условий.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Финансы</w:t>
      </w: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местного бюджета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– 371913 тыс. руб.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дотация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– 97495 тыс. руб.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субвенция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– 233168,9 тыс. руб.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Финансовая обеспеченность на одного человека составляет 12 тыс. руб.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в общем объеме доходов составляет 2,7 % (в 2011 г. - 3,0 %). 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установленного плана по налоговым и неналоговым поступлениям</w:t>
      </w: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027"/>
        <w:gridCol w:w="1276"/>
        <w:gridCol w:w="1276"/>
        <w:gridCol w:w="1276"/>
      </w:tblGrid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№№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факт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подоходный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собственный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 w:rsidP="0035051D">
            <w:pPr>
              <w:numPr>
                <w:ilvl w:val="0"/>
                <w:numId w:val="2"/>
              </w:numPr>
              <w:spacing w:after="0" w:line="240" w:lineRule="auto"/>
              <w:ind w:left="-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1B6B9F" w:rsidTr="001B6B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9F" w:rsidRDefault="001B6B9F">
            <w:pPr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9F" w:rsidRDefault="001B6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</w:tr>
    </w:tbl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продолжается работа по увеличению налоговой базы муниципального района, созданию условий, стимулирующих инвестиционную активность предприятий за счет внебюджетных источников финансирования с привлечением частного капитала.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Продолжается работа по реализации программ в соответствии с республиканскими приоритетами развития экономики и малого бизнеса.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Привлечение инвестиций</w:t>
      </w:r>
    </w:p>
    <w:p w:rsidR="001B6B9F" w:rsidRDefault="001B6B9F" w:rsidP="001B6B9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Определены инвестиционные  площадки  на  территории 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 в  местечке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-ген»- 1500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для  строительства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полукрытого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рынка, в  местечке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-800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для  строительства объектов  производства  и предпринимательства, в  местечке  «Тох-орда» - 1000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строительства жилого  комплекса. Эти  земельные  участки находятся  вдоль берега  реки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</w:t>
      </w:r>
      <w:proofErr w:type="spellEnd"/>
      <w:r>
        <w:rPr>
          <w:rFonts w:ascii="Times New Roman" w:hAnsi="Times New Roman" w:cs="Times New Roman"/>
          <w:sz w:val="28"/>
          <w:szCs w:val="28"/>
        </w:rPr>
        <w:t>»,  здесь  крайне  необходимо  в  первую  очередь провести берегоукрепительные  работы.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МО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Саниортинский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отведена  площадка 700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в  местечке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для  строительства  типовой  школы  на  120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сельпоселения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 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Кутлабский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вдоль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Кутлабской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речки  отведена  площадка 1000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 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детского-оздоровительного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лагеря.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 художественные промыслы представлены различными  видами  и  многими  центрами,  но наличие многих острых  проблем  может привести  к  утрате  традиций,   навыков,  культуры  этносов  республики.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наличии  богатых туристско-рекреационных  ресурсов,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>-рекреационная  деятельность не  развита.  Ее  активное  развитие  осложнено  статусом  приграничной  зоны (пропускной и  паспортный  режим).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Богатые  бальнеологические  ресурсы  используется  частично  местным  населением.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Привлечение инвестиций в 2013 и 2014 годах возможно в реализацию следующих проектов: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оздоровительный  туристский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детский оздоровительный  лагерь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Кутлаб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санаторий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Тлярата;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туристский  приют,  окрестность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Анцух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оздоровительный 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охотничья  хижина, окрестность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Чарах;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горная  хижина, окрестность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Камилух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канатная дорога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Салда до  с. Гагар.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Туристические маршруты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Район является горным, поэтому туристов могут привлечь горные ландшафты и объекты культуры. К ним целесообразно организовать маршруты.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духовно-религиозной деятельности могут служить для организации паломнического и религиозного туризма.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Потребительский рынок</w:t>
      </w:r>
    </w:p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муниципального района действующих рынков не имеется, есть площадка, где 1 раз в неделю, в субботу проводится ярмарка.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розничной торговли за 2012 год составил 752400,0 тыс. рублей, доля в республиканском обороте – 0,2 %. </w:t>
      </w:r>
    </w:p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оборота составляет 101,3 % к 2011 году.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Товарооборот на душу населения составил 26,5 тыс. руб. или 19,5 % от среднереспубликанского значения. 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платных услуг, оказанных населению района составил 35100,0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или 0,05% от объема платных услуг в целом по республике. Объем платных услуг населению на душу населения составляет 1,2 тыс. рублей или 4,6% от республиканского уровня.</w:t>
      </w:r>
    </w:p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объема платных услуг составляет 101,2 % к 2011 году.</w:t>
      </w:r>
    </w:p>
    <w:p w:rsidR="001B6B9F" w:rsidRDefault="001B6B9F" w:rsidP="001B6B9F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направления: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полукрытого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рынка в  местечке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Мусал</w:t>
      </w:r>
      <w:proofErr w:type="spellEnd"/>
      <w:r>
        <w:rPr>
          <w:rFonts w:ascii="Times New Roman" w:hAnsi="Times New Roman" w:cs="Times New Roman"/>
          <w:sz w:val="28"/>
          <w:szCs w:val="28"/>
        </w:rPr>
        <w:t>-ген» - 1500 кв. метров;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парикмахерских;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мастерских по ремонту бытовой техники;</w:t>
      </w:r>
    </w:p>
    <w:p w:rsidR="001B6B9F" w:rsidRDefault="001B6B9F" w:rsidP="001B6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мастерских по ремонту мобильных телефонов.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МО на образование – 251185,7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увеличение стоимости основных средств – 1051,0 тыс. руб.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учреждений – 58, </w:t>
      </w:r>
      <w:r>
        <w:rPr>
          <w:rFonts w:ascii="Times New Roman" w:hAnsi="Times New Roman" w:cs="Times New Roman"/>
          <w:sz w:val="28"/>
          <w:szCs w:val="28"/>
        </w:rPr>
        <w:tab/>
        <w:t>из них находятся в аварийном состоянии – 2 ед., требующих капитального ремонта – 30 единиц.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Совокупная мощность всех школ составляет 1860 мест.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учащихся в общеобразовательных учреждениях – 2314 уч. 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учащихся занимающихся в 1 смену – 91 %.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лиц, сдавших единый государственный экзамен – 100 %.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Средняя наполняемость классов 6,7 чел.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дошкольных образовательных учреждений – 28, их мощность - 555 мест.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детей посещающих ДОУ – 490 детей.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проблемами остаются: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оплаты труда учителей, отсутствие мотивации;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значительный износ зданий образовательных учреждений;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материально-техническая база учреждений образования;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невозможность получения качественного образования для населения, обслуживаемого малокомплектными сельскими школами.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деятельности на 2013 и 2014г.: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и развитие материально-технической базы, проведение необходимых ремонтных работ, пополнение и обновление оборудования школы, наглядных пособий, оргтехники, фонда библиотеки;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сохранение здоровья и обеспечение безопасности учащихся школы, необходимо расширять и укреплять систему мероприятий по антитеррористической и противопожарной безопасности в школе;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учебно-воспитательного процесса на основе наиболее полного выполнения социального заказа;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научно-методического сопровождения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>–воспитательного процесса, участие в экспериментальной работе на разных уровнях (муниципальном, федеральном, региональном), совершенствование педагогических технологий и методик, введение инноваций, информационных технологий;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системы воспитания в школе, развитие ученического самоуправления, совершенствование работы детских общественных организаций;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и творческого потенциала педагогического коллектива, участие в профессиональных конкурсах, содействие публикациям работ преподавателей.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См. приложения № 3, 4.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Здравоохранение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67 единиц муниципальных учреждений здравоохранения. Из них 4 больничных учреждения, 6 амбулаторно-поликлинические учреждения, 58 единица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общего числа больничных учреждений в типовых помещениях расположены 3 единицы, в приспособленных помещениях - 1 единица.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общего числа амбулаторно-поликлинических учреждений самостоятельные поликлиники 1 единица, врачебные амбулатории 5 единиц. Из общего числа амбулаторно-поликлинических учреждений в типовых помещениях расположена 1 единица, в приспособленных помещениях 5 единицы, требующие капитального ремонта 4 единица.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Фактическая мощность амбулаторно-поликлинических учреждений 225 посещений в смену.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больничных коек 155 единиц, в том числе 40 единиц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Джурмутской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больнице.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врачей 50 человек, среднего медицинского персонала 257 человек. Обеспеченность врачами на 10000 человек составляет 22,6 врачи, обеспеченность средним медицинским персоналом на 10000 человек - 116,9 СМП.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больничными учреждениями в районе составляет 79,0 койки на 10 тыс. населения и выше среднереспубликанского показателя  (по РД -69,4), но ниже среднероссийского значения (по РФ - 94).  </w:t>
      </w:r>
    </w:p>
    <w:p w:rsidR="001B6B9F" w:rsidRDefault="001B6B9F" w:rsidP="001B6B9F">
      <w:pPr>
        <w:pStyle w:val="3"/>
        <w:rPr>
          <w:szCs w:val="28"/>
        </w:rPr>
      </w:pPr>
    </w:p>
    <w:p w:rsidR="001B6B9F" w:rsidRDefault="001B6B9F" w:rsidP="001B6B9F">
      <w:pPr>
        <w:pStyle w:val="3"/>
        <w:rPr>
          <w:color w:val="800000"/>
          <w:szCs w:val="28"/>
        </w:rPr>
      </w:pPr>
      <w:r>
        <w:rPr>
          <w:noProof/>
          <w:color w:val="800000"/>
          <w:lang w:eastAsia="ru-RU"/>
        </w:rPr>
        <w:lastRenderedPageBreak/>
        <w:drawing>
          <wp:inline distT="0" distB="0" distL="0" distR="0">
            <wp:extent cx="5931535" cy="182054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проблемами в сфере здравоохранения являются аварийность и ветхость помещений учреждений здравоохранения, отсутствие санитарно-гигиенических условий. В то же время произошло улучшение основных показателей, характеризующих состояние здоровья населения – снизилась смертность в трудоспособном и младенческом возрасте, что  является, в первую очередь, следствием системного увеличения финансирования, реализации приоритетного национального проекта, а также  программ, направленных на улучшение здоровья населения. </w:t>
      </w: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работы ЦРБ в 2013 и 2014 годах</w:t>
      </w:r>
      <w:r>
        <w:rPr>
          <w:rFonts w:ascii="Times New Roman" w:hAnsi="Times New Roman" w:cs="Times New Roman"/>
          <w:sz w:val="28"/>
          <w:szCs w:val="28"/>
        </w:rPr>
        <w:t xml:space="preserve"> связаны  в основном с устранением вышеуказанных проблем и внедрением  новых медицинских и информационных систем, для улучшения качества и доступности оказываемых медицинских услуг, а также укрепление материально-технической базы ЦРБ.</w:t>
      </w:r>
    </w:p>
    <w:p w:rsidR="001B6B9F" w:rsidRDefault="001B6B9F" w:rsidP="001B6B9F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См. приложения № 3,4.</w:t>
      </w: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 и занятость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Уровень безработицы составляет 3,7 %, что в 1,5 раза выше среднереспубликанского уровня (2,4 %).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созданных рабочих мест составляет 30 чел. 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Среднемесячные денежные доходы на душу населения составляет – 4200 руб., среднереспубликанский доход – 20800 руб.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Среднемесячная начисленная зарплата составляет 8150 руб., по РД – 13822,0 руб.</w:t>
      </w:r>
    </w:p>
    <w:p w:rsidR="001B6B9F" w:rsidRDefault="001B6B9F" w:rsidP="001B6B9F">
      <w:pPr>
        <w:tabs>
          <w:tab w:val="left" w:pos="240"/>
        </w:tabs>
        <w:spacing w:after="0" w:line="240" w:lineRule="auto"/>
        <w:ind w:firstLine="720"/>
        <w:jc w:val="both"/>
        <w:rPr>
          <w:rFonts w:ascii="Calibri" w:hAnsi="Calibri" w:cs="Calibri"/>
          <w:color w:val="800000"/>
          <w:szCs w:val="28"/>
        </w:rPr>
      </w:pPr>
      <w:r>
        <w:rPr>
          <w:rFonts w:ascii="Calibri" w:eastAsia="Calibri" w:hAnsi="Calibri" w:cs="Calibri"/>
          <w:noProof/>
          <w:color w:val="800000"/>
          <w:lang w:eastAsia="ru-RU"/>
        </w:rPr>
        <w:drawing>
          <wp:inline distT="0" distB="0" distL="0" distR="0">
            <wp:extent cx="5931535" cy="17811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6B9F" w:rsidRDefault="001B6B9F" w:rsidP="001B6B9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деятельности на 2013-2014годы:</w:t>
      </w:r>
    </w:p>
    <w:p w:rsidR="001B6B9F" w:rsidRDefault="001B6B9F" w:rsidP="001B6B9F">
      <w:pPr>
        <w:numPr>
          <w:ilvl w:val="0"/>
          <w:numId w:val="3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B6B9F" w:rsidRDefault="001B6B9F" w:rsidP="001B6B9F">
      <w:pPr>
        <w:numPr>
          <w:ilvl w:val="0"/>
          <w:numId w:val="3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дополнительных рабочих мест.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1B6B9F" w:rsidRDefault="001B6B9F" w:rsidP="001B6B9F">
      <w:pPr>
        <w:tabs>
          <w:tab w:val="left" w:pos="2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Среднемесячные денежные доходы на душу населения составили 3828 руб., что в 5,5 раза ниже среднереспубликанского значения (по РД – 20797,4 руб.).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на одного работника за 2012 год составил 10500,7 руб. (по РД – 13822,5 руб.).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отсутствует. 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в области повышения качества жизни населения: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заработной платы по видам экономической деятельности, низкий уровень оплаты труда у работников бюджетной сферы и работников сельского хозяйства;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пенсионного обеспечения, что ослабляет трудовую мотивацию, сокращает платежеспособный спрос населения.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Физкультура и спорт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расхода бюджета МО на физическую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спорт составляет – 1176,5 тыс. руб. Всего спортивных сооружений – 53 ед., общая площадь – 2380 кв. м.</w:t>
      </w:r>
    </w:p>
    <w:p w:rsidR="001B6B9F" w:rsidRDefault="001B6B9F" w:rsidP="001B6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населения, систематически занимающегося физической культурой и спортом, составляет 18 %, т.е. почти в два раза  выше среднереспубликанского значения (9,6%). </w:t>
      </w:r>
    </w:p>
    <w:p w:rsidR="001B6B9F" w:rsidRDefault="001B6B9F" w:rsidP="001B6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проблемой в сфере развития физической культуры и спорта, является отсутствие спортивных залов в большинстве населенных пунктах и спортивного инвентаря.</w:t>
      </w:r>
    </w:p>
    <w:p w:rsidR="001B6B9F" w:rsidRDefault="001B6B9F" w:rsidP="001B6B9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Приоритетными направлениями развития  в области физической культуры и спорта являются: </w:t>
      </w:r>
    </w:p>
    <w:p w:rsidR="001B6B9F" w:rsidRDefault="001B6B9F" w:rsidP="001B6B9F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спортивных залов и оснащения их современным оборудованием;</w:t>
      </w:r>
    </w:p>
    <w:p w:rsidR="001B6B9F" w:rsidRDefault="001B6B9F" w:rsidP="001B6B9F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основ формирования физической культуры и здорового образа жизни населения, обеспечение подготовки спортсменов высокой квалификации и спортивного резерва;</w:t>
      </w:r>
    </w:p>
    <w:p w:rsidR="001B6B9F" w:rsidRDefault="001B6B9F" w:rsidP="001B6B9F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организационное, правовое, ресурсное и информационное обеспечение сферы физической культуры и спорта;</w:t>
      </w:r>
    </w:p>
    <w:p w:rsidR="001B6B9F" w:rsidRDefault="001B6B9F" w:rsidP="001B6B9F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основы развития и совершенствования системы подготовки, повышения квалификации и переподготовки кадров. </w:t>
      </w:r>
    </w:p>
    <w:p w:rsidR="001B6B9F" w:rsidRDefault="001B6B9F" w:rsidP="001B6B9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приложения № 3,4.</w:t>
      </w:r>
    </w:p>
    <w:p w:rsidR="001B6B9F" w:rsidRDefault="001B6B9F" w:rsidP="001B6B9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Культура</w:t>
      </w: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МО на культуру составил 27921,0 тыс. руб.,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увеличение стоимости основных средств – 486 тыс. рублей.</w:t>
      </w: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Число учреждений клубного типа составляет 44 ед., общедоступных библиотек – 34.</w:t>
      </w:r>
    </w:p>
    <w:p w:rsidR="001B6B9F" w:rsidRDefault="001B6B9F" w:rsidP="001B6B9F">
      <w:pPr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проблемы в сфере культуры - это недостаточное финансирование учреждений культуры, низкая заработная плата работников, слабая оснащённость музыкальными инструментами и инвентарём, сценическими костюмами, ветхое и аварийное состояние  зданий  сельских  домов культуры и библиотек.</w:t>
      </w:r>
    </w:p>
    <w:p w:rsidR="001B6B9F" w:rsidRDefault="001B6B9F" w:rsidP="001B6B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Приоритетные направления деятельности на 2013 и 2014 годы: создание нормальных условий для развития культуры, отдыха и досуга населения, особенно молодёжи.</w:t>
      </w:r>
    </w:p>
    <w:p w:rsidR="001B6B9F" w:rsidRDefault="001B6B9F" w:rsidP="001B6B9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См. приложения № 3,4.</w:t>
      </w:r>
    </w:p>
    <w:p w:rsidR="001B6B9F" w:rsidRDefault="001B6B9F" w:rsidP="001B6B9F">
      <w:pPr>
        <w:ind w:firstLine="709"/>
        <w:jc w:val="both"/>
        <w:rPr>
          <w:rFonts w:ascii="Times New Roman" w:hAnsi="Times New Roman" w:cs="Calibri"/>
          <w:sz w:val="28"/>
          <w:szCs w:val="28"/>
        </w:rPr>
      </w:pPr>
    </w:p>
    <w:p w:rsidR="001B6B9F" w:rsidRDefault="001B6B9F" w:rsidP="001B6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tabs>
          <w:tab w:val="left" w:pos="3721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1B6B9F" w:rsidRDefault="001B6B9F" w:rsidP="001B6B9F">
      <w:pPr>
        <w:tabs>
          <w:tab w:val="left" w:pos="3721"/>
          <w:tab w:val="center" w:pos="4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B9F" w:rsidRDefault="001B6B9F" w:rsidP="001B6B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представил в Министерство экономики Республики Дагестан в 2012 году:</w:t>
      </w:r>
    </w:p>
    <w:p w:rsidR="001B6B9F" w:rsidRDefault="001B6B9F" w:rsidP="001B6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для включения в проект «Стратегии социально-экономического развития территориальной зоны «Горный Дагестан» до 2025 года»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B6B9F" w:rsidRDefault="001B6B9F" w:rsidP="001B6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инвестиционного проекта для включения в проект Республиканской целевой программы «Социально-экономическое развитие горных территорий РД на 2013-2017 годы».</w:t>
      </w:r>
    </w:p>
    <w:p w:rsidR="001B6B9F" w:rsidRDefault="001B6B9F" w:rsidP="001B6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для включения в проект федеральной целевой программы «Социально-экономическое развитие приграничных районов Республики Дагестан на период до 2015 года» </w:t>
      </w:r>
      <w:r>
        <w:rPr>
          <w:rFonts w:ascii="Times New Roman" w:hAnsi="Times New Roman" w:cs="Times New Roman"/>
          <w:i/>
          <w:sz w:val="28"/>
          <w:szCs w:val="28"/>
        </w:rPr>
        <w:t>(приложение 3 и 4).</w:t>
      </w:r>
    </w:p>
    <w:p w:rsidR="001B6B9F" w:rsidRDefault="001B6B9F" w:rsidP="001B6B9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главы администрации «О доступных значениях показателей для оценки эффективности деятельности органов местного самоуправления».</w:t>
      </w:r>
    </w:p>
    <w:p w:rsidR="001B6B9F" w:rsidRDefault="001B6B9F" w:rsidP="001B6B9F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дальнейшем будет направлена на решение задач, определенных основными направлениями Стратегии социально-экономического развития Республики Дагестан до 2025 года и </w:t>
      </w:r>
      <w:r>
        <w:rPr>
          <w:rFonts w:ascii="Times New Roman" w:hAnsi="Times New Roman" w:cs="Times New Roman"/>
          <w:sz w:val="28"/>
          <w:szCs w:val="28"/>
        </w:rPr>
        <w:t>«Стратегии социально-экономического развития территориальной зоны «Горный Дагестан» до 2025 года»</w:t>
      </w:r>
      <w:r>
        <w:rPr>
          <w:rFonts w:ascii="Times New Roman" w:hAnsi="Times New Roman"/>
          <w:sz w:val="28"/>
          <w:szCs w:val="28"/>
        </w:rPr>
        <w:t>.</w:t>
      </w:r>
    </w:p>
    <w:p w:rsidR="001B6B9F" w:rsidRDefault="001B6B9F" w:rsidP="001B6B9F">
      <w:pPr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Разрабатывается проект программы социально-экономического развития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на 2013-2017 годы, разработана схема территориального планирования и другие нормативно-правовые акты. </w:t>
      </w:r>
    </w:p>
    <w:p w:rsidR="001B6B9F" w:rsidRDefault="001B6B9F" w:rsidP="001B6B9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 целями и задачами всех перечисленных мероприятий являются создание условий для устойчивого развития территорий и привлечения инвестиций, развитие приоритетных направлений производственного комплекса, сохранение и развитие человеческого потенциала, повышение безопасности и качества жизни населения.</w:t>
      </w:r>
    </w:p>
    <w:p w:rsidR="001B6B9F" w:rsidRDefault="001B6B9F" w:rsidP="001B6B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B9F" w:rsidRDefault="001B6B9F" w:rsidP="001B6B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М. Алиханов</w:t>
      </w:r>
    </w:p>
    <w:p w:rsidR="001B6B9F" w:rsidRDefault="001B6B9F" w:rsidP="001B6B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B58B1" w:rsidRDefault="006B58B1"/>
    <w:sectPr w:rsidR="006B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39D2"/>
    <w:multiLevelType w:val="hybridMultilevel"/>
    <w:tmpl w:val="EC785960"/>
    <w:lvl w:ilvl="0" w:tplc="EDF6B0A4">
      <w:start w:val="1"/>
      <w:numFmt w:val="russianLower"/>
      <w:lvlText w:val="%1)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4DB5"/>
    <w:multiLevelType w:val="hybridMultilevel"/>
    <w:tmpl w:val="C9E4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65583"/>
    <w:multiLevelType w:val="hybridMultilevel"/>
    <w:tmpl w:val="201C5D7C"/>
    <w:lvl w:ilvl="0" w:tplc="217603C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1EC2A98"/>
    <w:multiLevelType w:val="hybridMultilevel"/>
    <w:tmpl w:val="80DA90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77660"/>
    <w:multiLevelType w:val="hybridMultilevel"/>
    <w:tmpl w:val="15C6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03"/>
    <w:rsid w:val="001B6B9F"/>
    <w:rsid w:val="00446103"/>
    <w:rsid w:val="006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B6B9F"/>
    <w:pPr>
      <w:spacing w:after="120" w:line="25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6B9F"/>
    <w:rPr>
      <w:rFonts w:ascii="Calibri" w:eastAsia="Calibri" w:hAnsi="Calibri" w:cs="Calibri"/>
      <w:sz w:val="16"/>
      <w:szCs w:val="16"/>
    </w:rPr>
  </w:style>
  <w:style w:type="paragraph" w:styleId="a3">
    <w:name w:val="No Spacing"/>
    <w:uiPriority w:val="1"/>
    <w:qFormat/>
    <w:rsid w:val="001B6B9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1B6B9F"/>
    <w:pPr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1">
    <w:name w:val="Без интервала1"/>
    <w:rsid w:val="001B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B6B9F"/>
    <w:pPr>
      <w:spacing w:after="120" w:line="256" w:lineRule="auto"/>
      <w:ind w:left="283"/>
    </w:pPr>
    <w:rPr>
      <w:rFonts w:ascii="Calibri" w:eastAsia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B6B9F"/>
    <w:rPr>
      <w:rFonts w:ascii="Calibri" w:eastAsia="Calibri" w:hAnsi="Calibri" w:cs="Calibri"/>
      <w:sz w:val="16"/>
      <w:szCs w:val="16"/>
    </w:rPr>
  </w:style>
  <w:style w:type="paragraph" w:styleId="a3">
    <w:name w:val="No Spacing"/>
    <w:uiPriority w:val="1"/>
    <w:qFormat/>
    <w:rsid w:val="001B6B9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99"/>
    <w:qFormat/>
    <w:rsid w:val="001B6B9F"/>
    <w:pPr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1">
    <w:name w:val="Без интервала1"/>
    <w:rsid w:val="001B6B9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B6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8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Обеспеченность больничными учреждениями, 
коек на 10 тыс.чел. </a:t>
            </a:r>
          </a:p>
        </c:rich>
      </c:tx>
      <c:layout>
        <c:manualLayout>
          <c:xMode val="edge"/>
          <c:yMode val="edge"/>
          <c:x val="0.21370309951060359"/>
          <c:y val="0"/>
        </c:manualLayout>
      </c:layout>
      <c:overlay val="0"/>
      <c:spPr>
        <a:noFill/>
        <a:ln w="33602">
          <a:noFill/>
        </a:ln>
      </c:spPr>
    </c:title>
    <c:autoTitleDeleted val="0"/>
    <c:view3D>
      <c:rotX val="15"/>
      <c:hPercent val="2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464926590538338E-2"/>
          <c:y val="0.27071823204419887"/>
          <c:w val="0.92822185970636217"/>
          <c:h val="0.45856353591160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койки</c:v>
                </c:pt>
              </c:strCache>
            </c:strRef>
          </c:tx>
          <c:spPr>
            <a:solidFill>
              <a:srgbClr val="9999FF"/>
            </a:solidFill>
            <a:ln w="168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 район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79</c:v>
                </c:pt>
                <c:pt idx="1">
                  <c:v>69.400000000000006</c:v>
                </c:pt>
                <c:pt idx="2">
                  <c:v>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68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 район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68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 район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725376"/>
        <c:axId val="46006272"/>
        <c:axId val="0"/>
      </c:bar3DChart>
      <c:catAx>
        <c:axId val="46725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006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006272"/>
        <c:scaling>
          <c:orientation val="minMax"/>
        </c:scaling>
        <c:delete val="0"/>
        <c:axPos val="l"/>
        <c:majorGridlines>
          <c:spPr>
            <a:ln w="420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42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725376"/>
        <c:crosses val="autoZero"/>
        <c:crossBetween val="between"/>
      </c:valAx>
      <c:spPr>
        <a:noFill/>
        <a:ln w="336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8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 безработицы, %</a:t>
            </a:r>
          </a:p>
        </c:rich>
      </c:tx>
      <c:layout>
        <c:manualLayout>
          <c:xMode val="edge"/>
          <c:yMode val="edge"/>
          <c:x val="0.34747145187601958"/>
          <c:y val="2.247191011235955E-2"/>
        </c:manualLayout>
      </c:layout>
      <c:overlay val="0"/>
      <c:spPr>
        <a:noFill/>
        <a:ln w="33435">
          <a:noFill/>
        </a:ln>
      </c:spPr>
    </c:title>
    <c:autoTitleDeleted val="0"/>
    <c:view3D>
      <c:rotX val="15"/>
      <c:hPercent val="2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588907014681892E-2"/>
          <c:y val="0.2752808988764045"/>
          <c:w val="0.94779771615008157"/>
          <c:h val="0.53370786516853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67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уровеньбезработицы</c:v>
                </c:pt>
              </c:strCache>
            </c:strRef>
          </c:tx>
          <c:spPr>
            <a:solidFill>
              <a:srgbClr val="993366"/>
            </a:solidFill>
            <a:ln w="167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3.7</c:v>
                </c:pt>
                <c:pt idx="1">
                  <c:v>2.4</c:v>
                </c:pt>
                <c:pt idx="2">
                  <c:v>1.4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6718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Тляратинский</c:v>
                </c:pt>
                <c:pt idx="1">
                  <c:v>РД</c:v>
                </c:pt>
                <c:pt idx="2">
                  <c:v>РФ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6040576"/>
        <c:axId val="46042112"/>
        <c:axId val="0"/>
      </c:bar3DChart>
      <c:catAx>
        <c:axId val="46040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04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6042112"/>
        <c:scaling>
          <c:orientation val="minMax"/>
        </c:scaling>
        <c:delete val="0"/>
        <c:axPos val="l"/>
        <c:majorGridlines>
          <c:spPr>
            <a:ln w="4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6040576"/>
        <c:crosses val="autoZero"/>
        <c:crossBetween val="between"/>
      </c:valAx>
      <c:spPr>
        <a:noFill/>
        <a:ln w="3343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4144</Words>
  <Characters>23622</Characters>
  <Application>Microsoft Office Word</Application>
  <DocSecurity>0</DocSecurity>
  <Lines>196</Lines>
  <Paragraphs>55</Paragraphs>
  <ScaleCrop>false</ScaleCrop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2014-05-27T12:13:00Z</dcterms:created>
  <dcterms:modified xsi:type="dcterms:W3CDTF">2014-05-27T12:13:00Z</dcterms:modified>
</cp:coreProperties>
</file>